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C1DF4">
      <w:pPr>
        <w:jc w:val="center"/>
        <w:rPr>
          <w:rFonts w:ascii="黑体" w:hAnsi="黑体" w:eastAsia="黑体" w:cs="仿宋"/>
          <w:color w:val="000000"/>
          <w:sz w:val="32"/>
          <w:szCs w:val="32"/>
          <w:lang w:bidi="ar"/>
        </w:rPr>
      </w:pPr>
      <w:bookmarkStart w:id="0" w:name="_Hlk96612010"/>
      <w:r>
        <w:rPr>
          <w:rFonts w:hint="eastAsia" w:ascii="黑体" w:hAnsi="黑体" w:eastAsia="黑体" w:cs="仿宋"/>
          <w:color w:val="000000"/>
          <w:sz w:val="32"/>
          <w:szCs w:val="32"/>
          <w:lang w:bidi="ar"/>
        </w:rPr>
        <w:t>研究生培养过程重要节点环节</w:t>
      </w:r>
      <w:bookmarkEnd w:id="0"/>
      <w:r>
        <w:rPr>
          <w:rFonts w:hint="eastAsia" w:ascii="黑体" w:hAnsi="黑体" w:eastAsia="黑体" w:cs="仿宋"/>
          <w:color w:val="000000"/>
          <w:sz w:val="32"/>
          <w:szCs w:val="32"/>
          <w:lang w:bidi="ar"/>
        </w:rPr>
        <w:t>列表</w:t>
      </w:r>
    </w:p>
    <w:p w14:paraId="16AAB147">
      <w:pPr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（注：用于各学院参考）</w:t>
      </w:r>
    </w:p>
    <w:tbl>
      <w:tblPr>
        <w:tblStyle w:val="4"/>
        <w:tblpPr w:leftFromText="180" w:rightFromText="180" w:vertAnchor="text" w:horzAnchor="margin" w:tblpY="3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539"/>
        <w:gridCol w:w="2701"/>
        <w:gridCol w:w="3558"/>
      </w:tblGrid>
      <w:tr w14:paraId="7A3A6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425" w:type="pct"/>
            <w:shd w:val="clear" w:color="auto" w:fill="auto"/>
            <w:vAlign w:val="center"/>
          </w:tcPr>
          <w:p w14:paraId="55ACF160">
            <w:pPr>
              <w:jc w:val="center"/>
              <w:rPr>
                <w:rFonts w:ascii="黑体" w:hAnsi="黑体" w:eastAsia="黑体" w:cs="Arial"/>
                <w:szCs w:val="21"/>
              </w:rPr>
            </w:pPr>
            <w:bookmarkStart w:id="1" w:name="_Hlk89070828"/>
            <w:r>
              <w:rPr>
                <w:rFonts w:hint="eastAsia" w:ascii="黑体" w:hAnsi="黑体" w:eastAsia="黑体" w:cs="Arial"/>
                <w:szCs w:val="21"/>
              </w:rPr>
              <w:t>序号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761332E2">
            <w:pPr>
              <w:jc w:val="center"/>
              <w:rPr>
                <w:rFonts w:ascii="黑体" w:hAnsi="黑体" w:eastAsia="黑体" w:cs="Arial"/>
                <w:szCs w:val="21"/>
              </w:rPr>
            </w:pPr>
            <w:r>
              <w:rPr>
                <w:rFonts w:hint="eastAsia" w:ascii="黑体" w:hAnsi="黑体" w:eastAsia="黑体" w:cs="Arial"/>
                <w:szCs w:val="21"/>
              </w:rPr>
              <w:t>环节内容</w:t>
            </w:r>
          </w:p>
        </w:tc>
        <w:tc>
          <w:tcPr>
            <w:tcW w:w="1585" w:type="pct"/>
            <w:shd w:val="clear" w:color="auto" w:fill="auto"/>
            <w:vAlign w:val="center"/>
          </w:tcPr>
          <w:p w14:paraId="39B655C9">
            <w:pPr>
              <w:jc w:val="center"/>
              <w:rPr>
                <w:rFonts w:ascii="黑体" w:hAnsi="黑体" w:eastAsia="黑体" w:cs="Arial"/>
                <w:szCs w:val="21"/>
              </w:rPr>
            </w:pPr>
            <w:r>
              <w:rPr>
                <w:rFonts w:hint="eastAsia" w:ascii="黑体" w:hAnsi="黑体" w:eastAsia="黑体" w:cs="Arial"/>
                <w:szCs w:val="21"/>
              </w:rPr>
              <w:t>时间节点</w:t>
            </w:r>
          </w:p>
        </w:tc>
        <w:tc>
          <w:tcPr>
            <w:tcW w:w="2088" w:type="pct"/>
            <w:shd w:val="clear" w:color="auto" w:fill="auto"/>
            <w:vAlign w:val="center"/>
          </w:tcPr>
          <w:p w14:paraId="6A7CDADF">
            <w:pPr>
              <w:jc w:val="center"/>
              <w:rPr>
                <w:rFonts w:ascii="黑体" w:hAnsi="黑体" w:eastAsia="黑体" w:cs="Arial"/>
                <w:szCs w:val="21"/>
              </w:rPr>
            </w:pPr>
            <w:r>
              <w:rPr>
                <w:rFonts w:hint="eastAsia" w:ascii="黑体" w:hAnsi="黑体" w:eastAsia="黑体" w:cs="Arial"/>
                <w:szCs w:val="21"/>
              </w:rPr>
              <w:t>备注</w:t>
            </w:r>
          </w:p>
        </w:tc>
      </w:tr>
      <w:tr w14:paraId="613BC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  <w:vAlign w:val="center"/>
          </w:tcPr>
          <w:p w14:paraId="09077579">
            <w:pPr>
              <w:jc w:val="center"/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1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39B3C3F2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确认导师（师生互选）</w:t>
            </w:r>
          </w:p>
        </w:tc>
        <w:tc>
          <w:tcPr>
            <w:tcW w:w="1585" w:type="pct"/>
            <w:shd w:val="clear" w:color="auto" w:fill="auto"/>
            <w:vAlign w:val="center"/>
          </w:tcPr>
          <w:p w14:paraId="0BF23F28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新生入学初期</w:t>
            </w:r>
          </w:p>
        </w:tc>
        <w:tc>
          <w:tcPr>
            <w:tcW w:w="2088" w:type="pct"/>
            <w:shd w:val="clear" w:color="auto" w:fill="auto"/>
            <w:vAlign w:val="center"/>
          </w:tcPr>
          <w:p w14:paraId="32AE7B08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学院按具体招生指标政策和相关要求执行。建议各学院将“确认导师”这项工作时间前移，在新生录取确认后，即开展师生互选，明确各研究生的指导教师，方便导师们提前介入研究生的科研活动指导（如指导阅读相关文献和书籍）。</w:t>
            </w:r>
          </w:p>
        </w:tc>
      </w:tr>
      <w:tr w14:paraId="189BC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  <w:vAlign w:val="center"/>
          </w:tcPr>
          <w:p w14:paraId="5C501E87">
            <w:pPr>
              <w:jc w:val="center"/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2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5AD4FCE0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个人学习计划</w:t>
            </w:r>
          </w:p>
        </w:tc>
        <w:tc>
          <w:tcPr>
            <w:tcW w:w="1585" w:type="pct"/>
            <w:shd w:val="clear" w:color="auto" w:fill="auto"/>
            <w:vAlign w:val="center"/>
          </w:tcPr>
          <w:p w14:paraId="27B9E3B4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新生入学初期</w:t>
            </w:r>
          </w:p>
        </w:tc>
        <w:tc>
          <w:tcPr>
            <w:tcW w:w="2088" w:type="pct"/>
            <w:shd w:val="clear" w:color="auto" w:fill="auto"/>
            <w:vAlign w:val="center"/>
          </w:tcPr>
          <w:p w14:paraId="295C9D1D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研究生个人学习计划在导师和学院研究生教学秘书指导下完成制定。建议各学院在新生入学通知书寄发时，将培养方案、个人学习计划建议方案、研究生培养重要节点环节核心要求等材料一并附上。学院还应对新聘导师进行研究生培养全过程相关内容的培训，增加导师指导研究生制定个人学习计划的针对性。</w:t>
            </w:r>
          </w:p>
        </w:tc>
      </w:tr>
      <w:tr w14:paraId="35107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  <w:vAlign w:val="center"/>
          </w:tcPr>
          <w:p w14:paraId="7870EF00">
            <w:pPr>
              <w:jc w:val="center"/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3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3A87BEAA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论文开题</w:t>
            </w:r>
          </w:p>
        </w:tc>
        <w:tc>
          <w:tcPr>
            <w:tcW w:w="1585" w:type="pct"/>
            <w:shd w:val="clear" w:color="auto" w:fill="auto"/>
            <w:vAlign w:val="center"/>
          </w:tcPr>
          <w:p w14:paraId="5B45BD78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2年和2</w:t>
            </w:r>
            <w:r>
              <w:rPr>
                <w:rFonts w:ascii="仿宋" w:hAnsi="仿宋" w:eastAsia="仿宋" w:cs="Arial"/>
                <w:szCs w:val="21"/>
              </w:rPr>
              <w:t>.5</w:t>
            </w:r>
            <w:r>
              <w:rPr>
                <w:rFonts w:hint="eastAsia" w:ascii="仿宋" w:hAnsi="仿宋" w:eastAsia="仿宋" w:cs="Arial"/>
                <w:szCs w:val="21"/>
              </w:rPr>
              <w:t>年学制的第二个学期后期、其他学制第三个学期中</w:t>
            </w:r>
          </w:p>
        </w:tc>
        <w:tc>
          <w:tcPr>
            <w:tcW w:w="2088" w:type="pct"/>
            <w:shd w:val="clear" w:color="auto" w:fill="auto"/>
            <w:vAlign w:val="center"/>
          </w:tcPr>
          <w:p w14:paraId="078CFBA1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论文开题通过后，论文题目一般不再修改。若因既定研究命题无法有效推进，需对论文题目做重大调整时，应重新组织开题。</w:t>
            </w:r>
          </w:p>
        </w:tc>
      </w:tr>
      <w:tr w14:paraId="1A848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425" w:type="pct"/>
            <w:shd w:val="clear" w:color="auto" w:fill="auto"/>
            <w:vAlign w:val="center"/>
          </w:tcPr>
          <w:p w14:paraId="38D70686">
            <w:pPr>
              <w:jc w:val="center"/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4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3988F5FA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中期考核</w:t>
            </w:r>
          </w:p>
        </w:tc>
        <w:tc>
          <w:tcPr>
            <w:tcW w:w="1585" w:type="pct"/>
            <w:shd w:val="clear" w:color="auto" w:fill="auto"/>
            <w:vAlign w:val="center"/>
          </w:tcPr>
          <w:p w14:paraId="3AA6C2B5">
            <w:pPr>
              <w:rPr>
                <w:rFonts w:ascii="仿宋" w:hAnsi="仿宋" w:eastAsia="仿宋" w:cs="Arial"/>
                <w:bCs/>
                <w:szCs w:val="21"/>
              </w:rPr>
            </w:pPr>
            <w:r>
              <w:rPr>
                <w:rFonts w:ascii="仿宋" w:hAnsi="仿宋" w:eastAsia="仿宋" w:cs="Arial"/>
                <w:bCs/>
                <w:szCs w:val="21"/>
              </w:rPr>
              <w:t>2年和2.5年学制的第</w:t>
            </w:r>
            <w:r>
              <w:rPr>
                <w:rFonts w:hint="eastAsia" w:ascii="仿宋" w:hAnsi="仿宋" w:eastAsia="仿宋" w:cs="Arial"/>
                <w:bCs/>
                <w:szCs w:val="21"/>
              </w:rPr>
              <w:t>三</w:t>
            </w:r>
            <w:r>
              <w:rPr>
                <w:rFonts w:ascii="仿宋" w:hAnsi="仿宋" w:eastAsia="仿宋" w:cs="Arial"/>
                <w:bCs/>
                <w:szCs w:val="21"/>
              </w:rPr>
              <w:t>个学期</w:t>
            </w:r>
            <w:r>
              <w:rPr>
                <w:rFonts w:hint="eastAsia" w:ascii="仿宋" w:hAnsi="仿宋" w:eastAsia="仿宋" w:cs="Arial"/>
                <w:bCs/>
                <w:szCs w:val="21"/>
              </w:rPr>
              <w:t>开学初</w:t>
            </w:r>
            <w:r>
              <w:rPr>
                <w:rFonts w:ascii="仿宋" w:hAnsi="仿宋" w:eastAsia="仿宋" w:cs="Arial"/>
                <w:bCs/>
                <w:szCs w:val="21"/>
              </w:rPr>
              <w:t>、其他学制第</w:t>
            </w:r>
            <w:r>
              <w:rPr>
                <w:rFonts w:hint="eastAsia" w:ascii="仿宋" w:hAnsi="仿宋" w:eastAsia="仿宋" w:cs="Arial"/>
                <w:bCs/>
                <w:szCs w:val="21"/>
              </w:rPr>
              <w:t>四</w:t>
            </w:r>
            <w:r>
              <w:rPr>
                <w:rFonts w:ascii="仿宋" w:hAnsi="仿宋" w:eastAsia="仿宋" w:cs="Arial"/>
                <w:bCs/>
                <w:szCs w:val="21"/>
              </w:rPr>
              <w:t>个学期</w:t>
            </w:r>
            <w:r>
              <w:rPr>
                <w:rFonts w:hint="eastAsia" w:ascii="仿宋" w:hAnsi="仿宋" w:eastAsia="仿宋" w:cs="Arial"/>
                <w:bCs/>
                <w:szCs w:val="21"/>
              </w:rPr>
              <w:t>开学初</w:t>
            </w:r>
          </w:p>
        </w:tc>
        <w:tc>
          <w:tcPr>
            <w:tcW w:w="2088" w:type="pct"/>
            <w:shd w:val="clear" w:color="auto" w:fill="auto"/>
            <w:vAlign w:val="center"/>
          </w:tcPr>
          <w:p w14:paraId="63654AF8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考核硕士研究生的思想品德、课程学习和学位论文开题报告的综合考核。中期考核不合格者，降低相关奖励资助。</w:t>
            </w:r>
          </w:p>
        </w:tc>
      </w:tr>
      <w:tr w14:paraId="79B98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425" w:type="pct"/>
            <w:shd w:val="clear" w:color="auto" w:fill="auto"/>
            <w:vAlign w:val="center"/>
          </w:tcPr>
          <w:p w14:paraId="020A53F3">
            <w:pPr>
              <w:jc w:val="center"/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5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166E1A5E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学位论文中期检查</w:t>
            </w:r>
          </w:p>
        </w:tc>
        <w:tc>
          <w:tcPr>
            <w:tcW w:w="1585" w:type="pct"/>
            <w:shd w:val="clear" w:color="auto" w:fill="auto"/>
            <w:vAlign w:val="center"/>
          </w:tcPr>
          <w:p w14:paraId="5CFDFC70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各学制研究生毕业学年第一学期后期</w:t>
            </w:r>
          </w:p>
        </w:tc>
        <w:tc>
          <w:tcPr>
            <w:tcW w:w="2088" w:type="pct"/>
            <w:shd w:val="clear" w:color="auto" w:fill="auto"/>
            <w:vAlign w:val="center"/>
          </w:tcPr>
          <w:p w14:paraId="5A9CE7FA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全面考核研究生学位论文阶段性工作，充分保证论文质量；若不能按期完成学位论文撰写的，可建议申请延期毕业。</w:t>
            </w:r>
          </w:p>
        </w:tc>
      </w:tr>
      <w:tr w14:paraId="55085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  <w:vAlign w:val="center"/>
          </w:tcPr>
          <w:p w14:paraId="350955B3">
            <w:pPr>
              <w:jc w:val="center"/>
              <w:rPr>
                <w:rFonts w:ascii="仿宋" w:hAnsi="仿宋" w:eastAsia="仿宋" w:cs="Arial"/>
                <w:szCs w:val="21"/>
              </w:rPr>
            </w:pPr>
            <w:r>
              <w:rPr>
                <w:rFonts w:ascii="仿宋" w:hAnsi="仿宋" w:eastAsia="仿宋" w:cs="Arial"/>
                <w:szCs w:val="21"/>
              </w:rPr>
              <w:t>6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0222E3A4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学位论文的格式规范检查、查重、盲审</w:t>
            </w:r>
          </w:p>
        </w:tc>
        <w:tc>
          <w:tcPr>
            <w:tcW w:w="1585" w:type="pct"/>
            <w:shd w:val="clear" w:color="auto" w:fill="auto"/>
            <w:vAlign w:val="center"/>
          </w:tcPr>
          <w:p w14:paraId="02FFBF8B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各学制研究生毕业学年最后一个学期中期（夏季毕业生一般为4月份，</w:t>
            </w:r>
            <w:r>
              <w:rPr>
                <w:rFonts w:hint="eastAsia" w:ascii="仿宋" w:hAnsi="仿宋" w:eastAsia="仿宋" w:cs="Arial"/>
                <w:szCs w:val="21"/>
                <w:lang w:val="en-US" w:eastAsia="zh-CN"/>
              </w:rPr>
              <w:t>春</w:t>
            </w:r>
            <w:r>
              <w:rPr>
                <w:rFonts w:hint="eastAsia" w:ascii="仿宋" w:hAnsi="仿宋" w:eastAsia="仿宋" w:cs="Arial"/>
                <w:szCs w:val="21"/>
              </w:rPr>
              <w:t>季毕业生一般为1</w:t>
            </w:r>
            <w:r>
              <w:rPr>
                <w:rFonts w:ascii="仿宋" w:hAnsi="仿宋" w:eastAsia="仿宋" w:cs="Arial"/>
                <w:szCs w:val="21"/>
              </w:rPr>
              <w:t>1</w:t>
            </w:r>
            <w:r>
              <w:rPr>
                <w:rFonts w:hint="eastAsia" w:ascii="仿宋" w:hAnsi="仿宋" w:eastAsia="仿宋" w:cs="Arial"/>
                <w:szCs w:val="21"/>
              </w:rPr>
              <w:t>月份）。</w:t>
            </w:r>
          </w:p>
        </w:tc>
        <w:tc>
          <w:tcPr>
            <w:tcW w:w="2088" w:type="pct"/>
            <w:shd w:val="clear" w:color="auto" w:fill="auto"/>
            <w:vAlign w:val="center"/>
          </w:tcPr>
          <w:p w14:paraId="65AFF828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学位论文的格式检查、查重和盲审，是全方位评价学位论文质量的重要过程，其成绩列入研究生申请学位、学院绩效、</w:t>
            </w:r>
            <w:bookmarkStart w:id="2" w:name="_GoBack"/>
            <w:bookmarkEnd w:id="2"/>
            <w:r>
              <w:rPr>
                <w:rFonts w:hint="eastAsia" w:ascii="仿宋" w:hAnsi="仿宋" w:eastAsia="仿宋" w:cs="Arial"/>
                <w:szCs w:val="21"/>
              </w:rPr>
              <w:t>导师管理的考核指标。</w:t>
            </w:r>
          </w:p>
        </w:tc>
      </w:tr>
      <w:tr w14:paraId="3FC95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  <w:vAlign w:val="center"/>
          </w:tcPr>
          <w:p w14:paraId="02655436">
            <w:pPr>
              <w:jc w:val="center"/>
              <w:rPr>
                <w:rFonts w:ascii="仿宋" w:hAnsi="仿宋" w:eastAsia="仿宋" w:cs="Arial"/>
                <w:szCs w:val="21"/>
              </w:rPr>
            </w:pPr>
            <w:r>
              <w:rPr>
                <w:rFonts w:ascii="仿宋" w:hAnsi="仿宋" w:eastAsia="仿宋" w:cs="Arial"/>
                <w:szCs w:val="21"/>
              </w:rPr>
              <w:t>7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177E6BDA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学位论文答辩</w:t>
            </w:r>
          </w:p>
        </w:tc>
        <w:tc>
          <w:tcPr>
            <w:tcW w:w="1585" w:type="pct"/>
            <w:shd w:val="clear" w:color="auto" w:fill="auto"/>
            <w:vAlign w:val="center"/>
          </w:tcPr>
          <w:p w14:paraId="22B1B8B6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各学制研究生毕业学年最后一个学期后期（夏季毕业生为</w:t>
            </w:r>
            <w:r>
              <w:rPr>
                <w:rFonts w:hint="eastAsia" w:ascii="仿宋" w:hAnsi="仿宋" w:eastAsia="仿宋" w:cs="Arial"/>
                <w:szCs w:val="21"/>
                <w:lang w:val="en-US" w:eastAsia="zh-CN"/>
              </w:rPr>
              <w:t>5</w:t>
            </w:r>
            <w:r>
              <w:rPr>
                <w:rFonts w:ascii="仿宋" w:hAnsi="仿宋" w:eastAsia="仿宋" w:cs="Arial"/>
                <w:szCs w:val="21"/>
              </w:rPr>
              <w:t>月份，</w:t>
            </w:r>
            <w:r>
              <w:rPr>
                <w:rFonts w:hint="eastAsia" w:ascii="仿宋" w:hAnsi="仿宋" w:eastAsia="仿宋" w:cs="Arial"/>
                <w:szCs w:val="21"/>
                <w:lang w:val="en-US" w:eastAsia="zh-CN"/>
              </w:rPr>
              <w:t>春</w:t>
            </w:r>
            <w:r>
              <w:rPr>
                <w:rFonts w:ascii="仿宋" w:hAnsi="仿宋" w:eastAsia="仿宋" w:cs="Arial"/>
                <w:szCs w:val="21"/>
              </w:rPr>
              <w:t>季毕业生为</w:t>
            </w:r>
            <w:r>
              <w:rPr>
                <w:rFonts w:hint="eastAsia" w:ascii="仿宋" w:hAnsi="仿宋" w:eastAsia="仿宋" w:cs="Arial"/>
                <w:szCs w:val="21"/>
                <w:lang w:val="en-US" w:eastAsia="zh-CN"/>
              </w:rPr>
              <w:t>12</w:t>
            </w:r>
            <w:r>
              <w:rPr>
                <w:rFonts w:ascii="仿宋" w:hAnsi="仿宋" w:eastAsia="仿宋" w:cs="Arial"/>
                <w:szCs w:val="21"/>
              </w:rPr>
              <w:t>月份）</w:t>
            </w:r>
          </w:p>
        </w:tc>
        <w:tc>
          <w:tcPr>
            <w:tcW w:w="2088" w:type="pct"/>
            <w:shd w:val="clear" w:color="auto" w:fill="auto"/>
            <w:vAlign w:val="center"/>
          </w:tcPr>
          <w:p w14:paraId="78A98CC8">
            <w:pPr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研究生须根据专家意见，认真修改和完善学位论文，经导师签字确认后，提交至学校指定的管理平台存档和待查。</w:t>
            </w:r>
          </w:p>
        </w:tc>
      </w:tr>
      <w:bookmarkEnd w:id="1"/>
    </w:tbl>
    <w:p w14:paraId="00A1A8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FjYjBjNzg2ZmVkZjVmMDdiZGUxNGMyM2ViNWNmODEifQ=="/>
  </w:docVars>
  <w:rsids>
    <w:rsidRoot w:val="00416D1E"/>
    <w:rsid w:val="00000EEF"/>
    <w:rsid w:val="000816A2"/>
    <w:rsid w:val="002839F0"/>
    <w:rsid w:val="00416D1E"/>
    <w:rsid w:val="008379FE"/>
    <w:rsid w:val="00B46E58"/>
    <w:rsid w:val="00ED7B83"/>
    <w:rsid w:val="00F504FF"/>
    <w:rsid w:val="461F1305"/>
    <w:rsid w:val="4ECE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773</Words>
  <Characters>778</Characters>
  <Lines>5</Lines>
  <Paragraphs>1</Paragraphs>
  <TotalTime>13</TotalTime>
  <ScaleCrop>false</ScaleCrop>
  <LinksUpToDate>false</LinksUpToDate>
  <CharactersWithSpaces>778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2022-10-12T00:24:00Z</dcterms:created>
  <dc:creator>admin</dc:creator>
  <cp:lastModifiedBy>新L☆VE颖</cp:lastModifiedBy>
  <dcterms:modified xsi:type="dcterms:W3CDTF">2025-05-19T08:21:58Z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5979CFDB3DB345E0A336E8ED4C592CA3_12</vt:lpwstr>
  </property>
  <property fmtid="{D5CDD505-2E9C-101B-9397-08002B2CF9AE}" pid="4" name="KSOTemplateDocerSaveRecord">
    <vt:lpwstr>eyJoZGlkIjoiMTQwYmIxNmI3Njc5MGMyOTBkN2Y2OWUzMzUwOGE4ZDEiLCJ1c2VySWQiOiIzODEwMTg5MjUifQ==</vt:lpwstr>
  </property>
</Properties>
</file>